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C351288-122E-43BD-BCE1-374AE133909A}"/>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